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06" w:rsidRDefault="009F3306">
      <w:pPr>
        <w:spacing w:before="120" w:after="240" w:line="240" w:lineRule="atLeast"/>
        <w:jc w:val="center"/>
        <w:rPr>
          <w:b/>
          <w:bCs/>
        </w:rPr>
      </w:pPr>
    </w:p>
    <w:p w:rsidR="009F3306" w:rsidRDefault="00193FBF">
      <w:pPr>
        <w:spacing w:before="120" w:after="240" w:line="240" w:lineRule="atLeast"/>
        <w:jc w:val="center"/>
      </w:pPr>
      <w:r>
        <w:rPr>
          <w:b/>
          <w:bCs/>
        </w:rPr>
        <w:t>ATO NORMATIVO DPG Nº 001, DE 01 DE MARÇO DE 2019.</w:t>
      </w:r>
    </w:p>
    <w:p w:rsidR="009F3306" w:rsidRDefault="009F3306">
      <w:pPr>
        <w:tabs>
          <w:tab w:val="left" w:pos="6237"/>
        </w:tabs>
        <w:spacing w:before="120" w:after="240" w:line="240" w:lineRule="atLeast"/>
        <w:ind w:left="2551"/>
      </w:pPr>
    </w:p>
    <w:p w:rsidR="009F3306" w:rsidRDefault="009F3306">
      <w:pPr>
        <w:tabs>
          <w:tab w:val="left" w:pos="6237"/>
        </w:tabs>
        <w:spacing w:before="120" w:after="240" w:line="240" w:lineRule="atLeast"/>
        <w:ind w:left="2551"/>
      </w:pPr>
    </w:p>
    <w:p w:rsidR="009F3306" w:rsidRDefault="00193FBF">
      <w:pPr>
        <w:tabs>
          <w:tab w:val="left" w:pos="8505"/>
        </w:tabs>
        <w:spacing w:before="120" w:after="240" w:line="240" w:lineRule="atLeast"/>
        <w:ind w:left="2551"/>
        <w:jc w:val="both"/>
        <w:rPr>
          <w:rFonts w:eastAsia="Verdana"/>
          <w:b/>
        </w:rPr>
      </w:pPr>
      <w:r>
        <w:rPr>
          <w:b/>
        </w:rPr>
        <w:t>Institui o Plano Anual de Auditoria Interna (PAAI) para o exercício de 2019</w:t>
      </w:r>
      <w:r>
        <w:rPr>
          <w:rFonts w:eastAsia="Verdana"/>
          <w:b/>
        </w:rPr>
        <w:t>.</w:t>
      </w:r>
    </w:p>
    <w:p w:rsidR="009F3306" w:rsidRDefault="009F3306">
      <w:pPr>
        <w:tabs>
          <w:tab w:val="left" w:pos="6237"/>
        </w:tabs>
        <w:spacing w:before="120" w:after="240" w:line="240" w:lineRule="atLeast"/>
        <w:rPr>
          <w:rFonts w:eastAsia="Verdana"/>
        </w:rPr>
      </w:pPr>
    </w:p>
    <w:p w:rsidR="009F3306" w:rsidRDefault="009F3306">
      <w:pPr>
        <w:tabs>
          <w:tab w:val="left" w:pos="6237"/>
        </w:tabs>
        <w:spacing w:before="120" w:after="240" w:line="240" w:lineRule="atLeast"/>
        <w:rPr>
          <w:rFonts w:eastAsia="Verdana"/>
        </w:rPr>
      </w:pPr>
    </w:p>
    <w:p w:rsidR="009F3306" w:rsidRDefault="00193FBF">
      <w:pPr>
        <w:spacing w:before="120" w:after="240" w:line="240" w:lineRule="atLeast"/>
        <w:ind w:right="2"/>
        <w:jc w:val="both"/>
      </w:pPr>
      <w:r>
        <w:t xml:space="preserve">O </w:t>
      </w:r>
      <w:r>
        <w:rPr>
          <w:b/>
        </w:rPr>
        <w:t>DEFENSOR PÚBLICO-GERAL DO ESTADO DO ESPÍRITO SANTO</w:t>
      </w:r>
      <w:r>
        <w:t xml:space="preserve">, no uso das atribuições legais, </w:t>
      </w:r>
    </w:p>
    <w:p w:rsidR="009F3306" w:rsidRDefault="00193FBF">
      <w:pPr>
        <w:spacing w:before="120" w:after="240" w:line="240" w:lineRule="atLeast"/>
        <w:ind w:right="2"/>
        <w:jc w:val="both"/>
        <w:rPr>
          <w:b/>
          <w:bCs/>
        </w:rPr>
      </w:pPr>
      <w:r>
        <w:rPr>
          <w:b/>
          <w:bCs/>
        </w:rPr>
        <w:t>RESOLVE:</w:t>
      </w:r>
    </w:p>
    <w:p w:rsidR="009F3306" w:rsidRDefault="00193FBF">
      <w:pPr>
        <w:spacing w:before="120" w:after="240" w:line="240" w:lineRule="atLeast"/>
        <w:jc w:val="both"/>
      </w:pPr>
      <w:r>
        <w:rPr>
          <w:b/>
          <w:bCs/>
        </w:rPr>
        <w:t xml:space="preserve">Art. 1º. </w:t>
      </w:r>
      <w:r>
        <w:t>Instituir o Plano Anual de Auditoria Interna (PAAI) para o exercício de 2019, na forma do Anexo Único, disponível no sítio eletrônico da Defensoria Pública do Estado do Espírito Santo, item “Defensoria Geral”, abas “Atos” e “Atos Normativos” (</w:t>
      </w:r>
      <w:r>
        <w:rPr>
          <w:i/>
        </w:rPr>
        <w:t>link</w:t>
      </w:r>
      <w:r>
        <w:t>: http://www.defensoria.es.def.br/site/index.php/atos-normativos/#1526410141778-20c1e901-fdd5).</w:t>
      </w:r>
    </w:p>
    <w:p w:rsidR="009F3306" w:rsidRDefault="00193FBF">
      <w:pPr>
        <w:spacing w:before="120" w:after="240" w:line="240" w:lineRule="atLeast"/>
        <w:jc w:val="both"/>
      </w:pPr>
      <w:r>
        <w:rPr>
          <w:b/>
          <w:color w:val="000000"/>
        </w:rPr>
        <w:t xml:space="preserve">Art. 2º. </w:t>
      </w:r>
      <w:r>
        <w:rPr>
          <w:color w:val="000000"/>
        </w:rPr>
        <w:t xml:space="preserve">Este ato normativo entra em vigor a partir da data de sua publicação. </w:t>
      </w:r>
    </w:p>
    <w:p w:rsidR="009F3306" w:rsidRDefault="00193FBF">
      <w:pPr>
        <w:tabs>
          <w:tab w:val="left" w:pos="8504"/>
        </w:tabs>
        <w:spacing w:before="120" w:after="240" w:line="240" w:lineRule="atLeast"/>
        <w:jc w:val="center"/>
      </w:pPr>
      <w:r>
        <w:t>Vitória/ES, 01 de março de 2019.</w:t>
      </w:r>
    </w:p>
    <w:p w:rsidR="009F3306" w:rsidRDefault="009F3306">
      <w:pPr>
        <w:tabs>
          <w:tab w:val="left" w:pos="563"/>
        </w:tabs>
        <w:jc w:val="center"/>
        <w:rPr>
          <w:b/>
        </w:rPr>
      </w:pPr>
    </w:p>
    <w:p w:rsidR="009F3306" w:rsidRDefault="00193FBF">
      <w:pPr>
        <w:tabs>
          <w:tab w:val="left" w:pos="563"/>
        </w:tabs>
        <w:jc w:val="center"/>
        <w:rPr>
          <w:b/>
        </w:rPr>
      </w:pPr>
      <w:r>
        <w:rPr>
          <w:b/>
        </w:rPr>
        <w:t>GILMAR ALVES BATISTA</w:t>
      </w:r>
    </w:p>
    <w:p w:rsidR="009F3306" w:rsidRDefault="00193FBF">
      <w:pPr>
        <w:tabs>
          <w:tab w:val="left" w:pos="563"/>
        </w:tabs>
        <w:jc w:val="center"/>
      </w:pPr>
      <w:r>
        <w:t>Defensor Público-Geral</w:t>
      </w: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  <w:bookmarkStart w:id="0" w:name="_GoBack"/>
      <w:bookmarkEnd w:id="0"/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9F3306">
      <w:pPr>
        <w:tabs>
          <w:tab w:val="left" w:pos="563"/>
        </w:tabs>
        <w:spacing w:before="120" w:after="240" w:line="240" w:lineRule="atLeast"/>
        <w:ind w:right="737"/>
        <w:jc w:val="center"/>
      </w:pPr>
    </w:p>
    <w:p w:rsidR="009F3306" w:rsidRDefault="00193FBF">
      <w:pPr>
        <w:tabs>
          <w:tab w:val="left" w:pos="563"/>
          <w:tab w:val="left" w:pos="8504"/>
        </w:tabs>
        <w:jc w:val="center"/>
        <w:rPr>
          <w:b/>
        </w:rPr>
      </w:pPr>
      <w:r>
        <w:rPr>
          <w:b/>
        </w:rPr>
        <w:t>ANEXO ÚNICO</w:t>
      </w:r>
    </w:p>
    <w:p w:rsidR="009F3306" w:rsidRDefault="00193FBF">
      <w:pPr>
        <w:tabs>
          <w:tab w:val="left" w:pos="563"/>
        </w:tabs>
        <w:jc w:val="center"/>
        <w:rPr>
          <w:b/>
        </w:rPr>
      </w:pPr>
      <w:r>
        <w:rPr>
          <w:b/>
        </w:rPr>
        <w:t>PLANO ANUAL DE AUDITORIA INTERNA (PAAI) PARA 2018</w:t>
      </w:r>
    </w:p>
    <w:p w:rsidR="009F3306" w:rsidRDefault="009F3306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  <w:rPr>
          <w:b/>
        </w:rPr>
      </w:pP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1.INTRODUÇÃO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Plano Anual de Auditoria Interna - PAAI/2019 para o exercício de 2019 da Unidade Central de Controle Interno da Defensoria Pública do Estado do Espírito Santo- UCCI/DPES, tem como objetivo a realização de auditorias preventivas, defectivas e corretivas nas Unidades Administrativas previamente definidas, nas áreas: Contábil, Financeira, Recursos Humanos, Patrimônio, Compras, Almoxarifado, Orçamentária, Contratos e Administração em geral.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Os procedimentos e as técnicas de controle a serem utilizados poderão ser conceituados como um conjunto de verificações e averiguações que permitirão obter evidências ou provas suficientes e adequadas para analisar as informações para a formulação e fundamentação da opinião da UCCI/DPES que, depois as processará e levará ao conhecimento da Administração Superior da Defensoria Pública.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Os controles preventivos serão realizados ao tempo do ato, procedimento ou processo, tendo, por fim, atenuar possíveis impropriedades na execução dos mesmos.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Os demais controles analisam os procedimentos a “posteriori” de sua realização, e visam à conferência dos princípios básicos da Administração Pública e aplicação das demais normas pertinentes.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As análises da UCCI/DPES têm por finalidade precípua esclarecer questões conflitantes e irregulares, cientificando as unidades administrativas da importância em submeterem-se às normas vigentes.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2. DA COMPOSIÇÃO DA AUDITORIA INTERNA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 Resolução CSDPES n.º 033/2017 dispõe em seus artigos 11 a 20, os objetivos e  atribuições do Departamento de Controle Interno.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Nas atividades de auditoria serão consultados os registros físicos dos sistemas administrativos para subsidiar os trabalhos de vistoria. A realização de trabalho de inspeção interna de maior complexidade ou especialização poderá ter a colaboração técnica de outros servidores.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3. DA FINALIDADE DA AUDITORIA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Plano Anual de Auditoria Interna é o documento que orienta as normas para as auditorias internas, especificando os procedimentos e metodologias de trabalho a serem observados.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lastRenderedPageBreak/>
        <w:t xml:space="preserve">As auditorias têm a finalidade precípua de avaliar o cumprimento das unidades executoras quanto ao seguimento dos procedimentos administrativos e/ou das instruções normativas se já estiver sido implementadas na administração, baseadas nos princípios da legalidade, legitimidade, economicidade, eficiência e eficácia, bem como, recomendar e sugerir ações corretivas para os problemas detectados, cientificando aos auditados da importância em submeterem-se às normas vigentes.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Entende-se, desta forma, a auditoria interna como um elemento de controle, que tem como finalidade controlar, orientar e avaliar os atos de gestão praticados no âmbito desta Defensoria Pública e apoiar o controle externo da sua missão institucional assegurando desta forma a regularidade da gestão contábil, orçamentária, financeira, patrimonial e de pessoal.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4. DAS FASES DA AUDITORIA </w:t>
      </w:r>
    </w:p>
    <w:p w:rsidR="009F3306" w:rsidRDefault="00193FBF">
      <w:pPr>
        <w:pStyle w:val="ecxmsonormal"/>
        <w:shd w:val="clear" w:color="auto" w:fill="FFFFFF"/>
        <w:tabs>
          <w:tab w:val="left" w:pos="404"/>
        </w:tabs>
        <w:spacing w:before="120" w:beforeAutospacing="0" w:after="240" w:afterAutospacing="0" w:line="240" w:lineRule="atLeast"/>
        <w:jc w:val="both"/>
      </w:pPr>
      <w:r>
        <w:t xml:space="preserve">4.1) Planejamento da Auditoria (preparação prévia); </w:t>
      </w:r>
    </w:p>
    <w:p w:rsidR="009F3306" w:rsidRDefault="00193FBF">
      <w:pPr>
        <w:pStyle w:val="ecxmsonormal"/>
        <w:shd w:val="clear" w:color="auto" w:fill="FFFFFF"/>
        <w:tabs>
          <w:tab w:val="left" w:pos="404"/>
        </w:tabs>
        <w:spacing w:before="120" w:beforeAutospacing="0" w:after="240" w:afterAutospacing="0" w:line="240" w:lineRule="atLeast"/>
        <w:jc w:val="both"/>
      </w:pPr>
      <w:r>
        <w:t xml:space="preserve">4.2) Auditoria </w:t>
      </w:r>
      <w:r>
        <w:rPr>
          <w:i/>
          <w:iCs/>
        </w:rPr>
        <w:t>in loco</w:t>
      </w:r>
      <w:r>
        <w:t xml:space="preserve"> na Unidade; </w:t>
      </w:r>
    </w:p>
    <w:p w:rsidR="009F3306" w:rsidRDefault="00193FBF">
      <w:pPr>
        <w:pStyle w:val="ecxmsonormal"/>
        <w:shd w:val="clear" w:color="auto" w:fill="FFFFFF"/>
        <w:tabs>
          <w:tab w:val="left" w:pos="404"/>
        </w:tabs>
        <w:spacing w:before="120" w:beforeAutospacing="0" w:after="240" w:afterAutospacing="0" w:line="240" w:lineRule="atLeast"/>
        <w:jc w:val="both"/>
      </w:pPr>
      <w:r>
        <w:t xml:space="preserve">4.3) Relatório de Auditoria (parcial ou final); </w:t>
      </w:r>
    </w:p>
    <w:p w:rsidR="009F3306" w:rsidRDefault="00193FBF">
      <w:pPr>
        <w:pStyle w:val="ecxmsonormal"/>
        <w:shd w:val="clear" w:color="auto" w:fill="FFFFFF"/>
        <w:tabs>
          <w:tab w:val="left" w:pos="404"/>
        </w:tabs>
        <w:spacing w:before="120" w:beforeAutospacing="0" w:after="240" w:afterAutospacing="0" w:line="240" w:lineRule="atLeast"/>
        <w:jc w:val="both"/>
      </w:pPr>
      <w:r>
        <w:t>4.4) Acompanhamento/recomendação.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5. DOS FATORES CONSIDERADOS NA ELABORAÇÃO DO PAAI- 2019 E OS SISTEMAS ENVOLVIDOS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Planejamento dos trabalhos de auditoria da UCCI foi pautado em especial pelos seguintes fatores: </w:t>
      </w:r>
    </w:p>
    <w:p w:rsidR="009F3306" w:rsidRDefault="00193FBF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240" w:afterAutospacing="0" w:line="240" w:lineRule="atLeast"/>
        <w:ind w:left="0" w:firstLine="0"/>
        <w:jc w:val="both"/>
      </w:pPr>
      <w:r>
        <w:t xml:space="preserve"> Necessidades administrativas de gestão da Defensoria Pública Estadual;</w:t>
      </w:r>
    </w:p>
    <w:p w:rsidR="009F3306" w:rsidRDefault="00193FBF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240" w:afterAutospacing="0" w:line="240" w:lineRule="atLeast"/>
        <w:ind w:left="0" w:firstLine="0"/>
        <w:jc w:val="both"/>
      </w:pPr>
      <w:r>
        <w:t xml:space="preserve"> Materialidade, baseada no volume da área em exame;</w:t>
      </w:r>
    </w:p>
    <w:p w:rsidR="009F3306" w:rsidRDefault="00193FBF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240" w:afterAutospacing="0" w:line="240" w:lineRule="atLeast"/>
        <w:ind w:left="0" w:firstLine="0"/>
        <w:jc w:val="both"/>
      </w:pPr>
      <w:r>
        <w:t xml:space="preserve">Acompanhamento/observações efetuadas no transcorrer do exercício; </w:t>
      </w:r>
    </w:p>
    <w:p w:rsidR="009F3306" w:rsidRDefault="00193FBF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240" w:afterAutospacing="0" w:line="240" w:lineRule="atLeast"/>
        <w:ind w:left="0" w:firstLine="0"/>
        <w:jc w:val="both"/>
      </w:pPr>
      <w:r>
        <w:t xml:space="preserve">Fragilidade ou ausência de controles observados; </w:t>
      </w:r>
    </w:p>
    <w:p w:rsidR="009F3306" w:rsidRDefault="00193FBF">
      <w:pPr>
        <w:pStyle w:val="ecxmsonormal"/>
        <w:numPr>
          <w:ilvl w:val="0"/>
          <w:numId w:val="1"/>
        </w:numPr>
        <w:shd w:val="clear" w:color="auto" w:fill="FFFFFF"/>
        <w:spacing w:before="120" w:beforeAutospacing="0" w:after="240" w:afterAutospacing="0" w:line="240" w:lineRule="atLeast"/>
        <w:ind w:left="0" w:firstLine="0"/>
        <w:jc w:val="both"/>
      </w:pPr>
      <w:r>
        <w:t xml:space="preserve">Determinações emanadas do Tribunal de Contas do Estado do Espírito Santo onde a UCCI acompanhará a execução dos trabalhos de todas as unidades administrativas envolvidas nos seguintes sistemas: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5.1) Sistema de Controle Interno;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t>5.2) Sistema de Contabilidade;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t>5.3) Sistema Financeiro;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t>5.4) Sistema Patrimonial;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t>5.5) Sistema de Planejamento e Orçamento;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t xml:space="preserve">5.6) Sistema de Administração e Recursos Humanos; </w:t>
      </w:r>
    </w:p>
    <w:p w:rsidR="009F3306" w:rsidRDefault="00193FBF">
      <w:pPr>
        <w:pStyle w:val="ecxmsonormal"/>
        <w:shd w:val="clear" w:color="auto" w:fill="FFFFFF"/>
        <w:tabs>
          <w:tab w:val="left" w:pos="851"/>
        </w:tabs>
        <w:spacing w:before="120" w:beforeAutospacing="0" w:after="240" w:afterAutospacing="0" w:line="240" w:lineRule="atLeast"/>
        <w:jc w:val="both"/>
      </w:pPr>
      <w:r>
        <w:lastRenderedPageBreak/>
        <w:t>5.7) Sistema de compras, licitações e contratos;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6)     Elaboração dos seus controles internos, visando o seu aprimoramento;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7)  Cumprimento das instruções normativas editadas e implementadas para cada sistema, bem como, auxiliando na edição de novas normativas para procedimentos de rotinas desprovidos de regulamentação. No exercício do controle preventivo a UCCI adotará as seguintes medidas: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8)  Realizar reuniões com os servidores das Unidades para dirimir eventuais dúvidas e questionamentos acerca da aplicabilidade, alcance e cumprimento das instruções normativas;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9) Emitir pareceres e recomendações para aprimorar o controle interno, quando constatada pela UCCI falha nos procedimentos de rotina;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10) Responder consultas das unidades executoras quanto à legalidade, legitimidade e economicidade de procedimentos de trabalho, bem como, nos casos de interpretação e/ou indicação da legislação aplicável às determinadas situações hipotéticas;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11) Informar e orientar as unidades executoras quanto às manifestações e recomendações de órgãos de controle externo que possam implicar diretamente na gestão dos sistemas;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12) Realizar visitas técnicas preventivas nas unidades para avaliar a eficiência dos trabalhos Administrativos.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controle preventivo da UCCI será realizado junto a esses sistemas durante todo o exercício de 2019, sem data previamente fixada, posto que as medidas do tópico anterior serão adotadas sempre que a UCCI verificar a sua necessidade quando do acompanhamento ou mediante provocação das unidades executoras ligadas aos sistemas.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Ressalta-se que, mesmo selecionando os sistemas a serem auditados, a UCCI também adotará as medidas de controle preventivo para as suas unidades, da mesma forma que, havendo a necessidade, os sistemas selecionados para o controle preventivo, por decisão da UCCI ou mediante provocação da Defensora Pública Geral, poderão ser objetos de auditoria especial no decorrer do ano de 2019.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6. AÇÕES PREVENTIVAS PARA AUDITORIA INTERNA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6.1) </w:t>
      </w:r>
      <w:bookmarkStart w:id="1" w:name="__DdeLink__34823_1696079779"/>
      <w:r>
        <w:t>Ação d</w:t>
      </w:r>
      <w:bookmarkEnd w:id="1"/>
      <w:r>
        <w:t xml:space="preserve">e Auditoria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6.1.1) Processos Licitatórios 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análise dos autos do processo de licitação em todas as modalidades previstas na Lei 8666/93, bem como, dispensa e inexigibilidade e de pregão (Lei 10.520/02); fracionamento ilegal de despesas, restrição e direcionamento do certame que gerem prejuízos ao erário.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lastRenderedPageBreak/>
        <w:t xml:space="preserve">Avaliação de risco: fragmentação de licitação, adoção de modalidade adequada, realização de procedimentos sem observância das disposições legais e das instruções normativas.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Objetivo da auditoria: verificar a legalidade dos procedimentos licitatórios.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Resultados esperados: assegurar a correta formalização dos processos em obediência à legislação vigente e o acompanhamento eficaz das licitações, dispensas e </w:t>
      </w:r>
      <w:proofErr w:type="spellStart"/>
      <w:r>
        <w:t>inexigibilidades</w:t>
      </w:r>
      <w:proofErr w:type="spellEnd"/>
      <w:r>
        <w:t xml:space="preserve">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6.1.2) Almoxarifado e Patrimônio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avaliar as práticas administrativas em toda movimentação e estocagem de materiais de consumo e de expediente.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de risco: falta de controle ou controle inadequado, má conservação, aquisição de produtos sem utilidade, furtos, roubos e desvios.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ind w:left="57"/>
        <w:jc w:val="both"/>
      </w:pPr>
      <w:r>
        <w:t xml:space="preserve">Relevância: garantir a conservação, controle e agilidade na distribuição dos estoques de matérias de consumo.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ind w:left="57"/>
        <w:jc w:val="both"/>
      </w:pPr>
      <w:r>
        <w:t xml:space="preserve">Objetivo da auditoria: verificar se as rotinas no recebimento, aceite, escrituração e distribuição de materiais obedecem à legislação vigente, e observar o armazenamento dos produtos e logística da entrega para atendimento às necessidades desta Administração.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ind w:left="57"/>
        <w:jc w:val="both"/>
      </w:pPr>
      <w:r>
        <w:t xml:space="preserve">Resultados esperados: um controle eficiente e eficaz dos produtos adquiridos e dos bens móveis, bem como, o armazenamento e utilização destes.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6.1.3) Folha de Pagamento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avaliar as ações gerenciais e procedimentos relacionados ao processo de elaboração da folha de pagamento do pessoal ativo (efetivos e comissionados), inativos, bem como, as documentações que suportam os pagamentos, auxílios e benefícios.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de risco: pagamentos de vantagens indevidas a servidores e substitutos.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Relevância: Aferir a exatidão dos recursos financeiros empregados.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Objetivo da auditoria: avaliar os controles internos verificando legalidade, legitimidade, eficácia, eficiência, economicidade no gasto com pessoal ativo, (efetivo/comissionado), e inativos.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Resultados esperados: inibir ações que possam provocar gastos desnecessários que onerem indevidamente o erário.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6.1.4) Gestão de Bens e Serviços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análise dos processos de licitação, dispensa e inexigibilidade.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lastRenderedPageBreak/>
        <w:t xml:space="preserve">Avaliação de risco: Superfaturamento de preços, desvios ou fraudes de recursos públicos, fracionamento de despesas, direcionamento do vencedor, envolvimento entre os licitantes, aquisição de serviços e produtos de baixa qualidade e não atendimento aos dispositivos da legislação.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Relevância: garantir a instrução processual adequada com vistas ao atendimento dos princípios constitucionais a fim de dirimir a ineficiência e o desperdício de recursos públicos.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Objetivo da Auditoria: verificar a legalidade, a legitimidade, a eficácia, a eficiência e a economicidade na gestão de suprimentos de bens e serviços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Resultados esperados: maior eficiência nas contratações, aquisições de bens e serviços públicos.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6.1.5) Acompanhamento e Controle da Execução dos Contratos e Aditivos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contratações irregulares, descumprimento às cláusulas contratuais, falta de publicação e fiscalização quanto à execução e dispensa legal do termo do contrato.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de risco: verificar o conteúdo e publicação dos contratos, contratações irregulares, prestações de serviços de baixa qualidade, descumprimento de cláusulas contratuais e falta de fiscalização.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Relevância: garantir a fidelidade ao instrumento originário e cláusulas contratuais em função do volume de recursos envolvidos, a fim de reduzir a possibilidade de incorreções e atos de impropriedades e irregularidades.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Objetivo da auditoria: verificar a legalidade, legitimidade, eficácia, eficiência na gestão e fiscalização dos contratos. Assegurar a correta formalização dos processos contratuais e o acompanhamento eficaz da execução dos contratos em consonância com a legislação vigente.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Resultados esperados: maior eficiência nas contratações, aquisição de bens e serviços públicos.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6.1.6) Gestão Financeira e Orçamentária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sumária: análise e avaliação de concessão de suprimento de fundos, prestação de contas e outros assuntos pertinentes à área.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Avaliação de risco: utilização indevida de recursos, ausência de justificativas, falta de documentação comprobatória da participação em eventos, ausência de relatório de viagem.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Relevância: a gestão financeira realizada com eficiência permite uma melhoria na qualidade e no controle do gasto público.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Objetivo da auditoria: avaliar os controles internos e a gestão financeira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lastRenderedPageBreak/>
        <w:t>Resultados esperados: melhoria na qualidade dos gastos públicos.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rPr>
          <w:b/>
        </w:rPr>
        <w:t xml:space="preserve">7. CONSIDERAÇÕES FINAIS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Plano Anual de Auditoria Interna (PAAI) é um plano de ações, elaborado com base nos riscos aferidos, de acordo com critérios utilizados por esta Instituição. As atividades de Auditoria estão previstas para o período de 11/03/2018 a 20/12/2018, sendo necessário ressaltar que o prazo apontado para a realização das atividades, como acima indicado, poderá ser alterado, suprimido em parte ou prorrogado em função de fatores externos ou internos que venham a prejudicar ou influenciar sua execução, tais como: </w:t>
      </w:r>
    </w:p>
    <w:p w:rsidR="009F3306" w:rsidRDefault="00193FBF">
      <w:pPr>
        <w:pStyle w:val="ec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120" w:beforeAutospacing="0" w:after="240" w:afterAutospacing="0" w:line="240" w:lineRule="atLeast"/>
        <w:ind w:left="0" w:firstLine="0"/>
        <w:jc w:val="both"/>
      </w:pPr>
      <w:r>
        <w:t xml:space="preserve">Trabalhos especiais; </w:t>
      </w:r>
    </w:p>
    <w:p w:rsidR="009F3306" w:rsidRDefault="00193FBF">
      <w:pPr>
        <w:pStyle w:val="ec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120" w:beforeAutospacing="0" w:after="240" w:afterAutospacing="0" w:line="240" w:lineRule="atLeast"/>
        <w:ind w:left="0" w:firstLine="0"/>
        <w:jc w:val="both"/>
      </w:pPr>
      <w:r>
        <w:t>Capacitação do Servidor (cursos e seminários) ;</w:t>
      </w:r>
    </w:p>
    <w:p w:rsidR="009F3306" w:rsidRDefault="00193FBF">
      <w:pPr>
        <w:pStyle w:val="ec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120" w:beforeAutospacing="0" w:after="240" w:afterAutospacing="0" w:line="240" w:lineRule="atLeast"/>
        <w:ind w:left="0" w:firstLine="0"/>
        <w:jc w:val="both"/>
      </w:pPr>
      <w:r>
        <w:t xml:space="preserve">Fatos imprevistos; </w:t>
      </w:r>
    </w:p>
    <w:p w:rsidR="009F3306" w:rsidRDefault="00193FBF">
      <w:pPr>
        <w:pStyle w:val="ec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120" w:beforeAutospacing="0" w:after="240" w:afterAutospacing="0" w:line="240" w:lineRule="atLeast"/>
        <w:ind w:left="0" w:firstLine="0"/>
        <w:jc w:val="both"/>
      </w:pPr>
      <w:r>
        <w:t xml:space="preserve">Atendimento a demandas dos órgãos fiscalizadores.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 xml:space="preserve">O resultado das atividades de Auditoria será levado ao conhecimento do Defensor Público Geral e aos responsáveis pelos sistemas Administrativos para que tomem conhecimento e adotem as providências que se fizerem necessárias, sendo que as constatações, recomendações e pendências farão parte do relatório de Auditoria. </w:t>
      </w:r>
    </w:p>
    <w:p w:rsidR="009F3306" w:rsidRDefault="00193FBF">
      <w:pPr>
        <w:pStyle w:val="ecxmsonormal"/>
        <w:shd w:val="clear" w:color="auto" w:fill="FFFFFF"/>
        <w:spacing w:before="120" w:beforeAutospacing="0" w:after="240" w:afterAutospacing="0" w:line="240" w:lineRule="atLeast"/>
        <w:jc w:val="both"/>
      </w:pPr>
      <w:r>
        <w:t>O Plano Anual de Auditoria Interna (PAAI/2019), em atendimento ao princípio constitucional da publicidade dos atos da administração pública, será publicado em seu site oficial.</w:t>
      </w:r>
    </w:p>
    <w:p w:rsidR="009F3306" w:rsidRDefault="009F3306">
      <w:pPr>
        <w:pStyle w:val="ecxmsonormal"/>
        <w:shd w:val="clear" w:color="auto" w:fill="FFFFFF"/>
        <w:spacing w:before="120" w:beforeAutospacing="0" w:after="240" w:afterAutospacing="0" w:line="240" w:lineRule="atLeast"/>
        <w:jc w:val="center"/>
      </w:pPr>
    </w:p>
    <w:p w:rsidR="009F3306" w:rsidRDefault="00193FBF">
      <w:pPr>
        <w:pStyle w:val="ecxmsonormal"/>
        <w:shd w:val="clear" w:color="auto" w:fill="FFFFFF"/>
        <w:jc w:val="center"/>
      </w:pPr>
      <w:r>
        <w:t>Vitória, 01 de março de 2019.</w:t>
      </w:r>
    </w:p>
    <w:p w:rsidR="009F3306" w:rsidRDefault="009F3306">
      <w:pPr>
        <w:jc w:val="center"/>
        <w:rPr>
          <w:b/>
        </w:rPr>
      </w:pPr>
    </w:p>
    <w:p w:rsidR="009F3306" w:rsidRDefault="00193FBF">
      <w:pPr>
        <w:jc w:val="center"/>
        <w:rPr>
          <w:b/>
        </w:rPr>
      </w:pPr>
      <w:r>
        <w:rPr>
          <w:b/>
        </w:rPr>
        <w:t>GILMAR ALVES BATISTA</w:t>
      </w:r>
    </w:p>
    <w:p w:rsidR="009F3306" w:rsidRDefault="00193FBF">
      <w:pPr>
        <w:shd w:val="clear" w:color="auto" w:fill="FFFFFF"/>
        <w:jc w:val="center"/>
      </w:pPr>
      <w:r>
        <w:t>Defensor Público Geral</w:t>
      </w:r>
    </w:p>
    <w:p w:rsidR="009F3306" w:rsidRDefault="009F3306">
      <w:pPr>
        <w:pStyle w:val="ecxmsonormal"/>
        <w:shd w:val="clear" w:color="auto" w:fill="FFFFFF"/>
        <w:tabs>
          <w:tab w:val="left" w:pos="0"/>
        </w:tabs>
        <w:spacing w:before="120" w:beforeAutospacing="0" w:after="240" w:afterAutospacing="0" w:line="240" w:lineRule="atLeast"/>
        <w:ind w:right="737"/>
        <w:jc w:val="both"/>
      </w:pPr>
    </w:p>
    <w:p w:rsidR="009F3306" w:rsidRDefault="009F3306">
      <w:pPr>
        <w:pStyle w:val="ecxmsonormal"/>
        <w:shd w:val="clear" w:color="auto" w:fill="FFFFFF"/>
        <w:tabs>
          <w:tab w:val="left" w:pos="0"/>
        </w:tabs>
        <w:spacing w:before="120" w:beforeAutospacing="0" w:after="240" w:afterAutospacing="0" w:line="240" w:lineRule="atLeast"/>
        <w:ind w:right="737"/>
        <w:jc w:val="both"/>
      </w:pPr>
    </w:p>
    <w:sectPr w:rsidR="009F3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BF" w:rsidRDefault="00193FBF">
      <w:r>
        <w:separator/>
      </w:r>
    </w:p>
  </w:endnote>
  <w:endnote w:type="continuationSeparator" w:id="0">
    <w:p w:rsidR="00193FBF" w:rsidRDefault="0019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6" w:rsidRDefault="002048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06" w:rsidRDefault="00193FBF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Praça Manoel Silvino Monjardim, nº 54, Centro, Vitória/ES, CEP 29010-520, telefone: (27) 3198-3300.</w:t>
    </w:r>
  </w:p>
  <w:p w:rsidR="009F3306" w:rsidRDefault="00193FBF">
    <w:pPr>
      <w:pStyle w:val="SemEspaamento"/>
      <w:tabs>
        <w:tab w:val="left" w:pos="1515"/>
        <w:tab w:val="center" w:pos="4252"/>
        <w:tab w:val="center" w:pos="4639"/>
        <w:tab w:val="right" w:pos="8504"/>
      </w:tabs>
      <w:jc w:val="center"/>
    </w:pPr>
    <w:r>
      <w:rPr>
        <w:rFonts w:ascii="Times New Roman" w:hAnsi="Times New Roman" w:cs="Times New Roman"/>
        <w:sz w:val="18"/>
        <w:szCs w:val="18"/>
        <w:lang w:val="en-US"/>
      </w:rPr>
      <w:t xml:space="preserve">Site: </w:t>
    </w:r>
    <w:hyperlink r:id="rId1">
      <w:r>
        <w:rPr>
          <w:rStyle w:val="LinkdaInternet"/>
          <w:rFonts w:ascii="Times New Roman" w:hAnsi="Times New Roman" w:cs="Times New Roman"/>
          <w:color w:val="00000A"/>
          <w:sz w:val="18"/>
          <w:szCs w:val="18"/>
          <w:u w:val="none"/>
          <w:lang w:val="en-US"/>
        </w:rPr>
        <w:t>www.defensoria.es.def.br</w:t>
      </w:r>
    </w:hyperlink>
    <w:r>
      <w:rPr>
        <w:rFonts w:ascii="Times New Roman" w:hAnsi="Times New Roman" w:cs="Times New Roman"/>
        <w:sz w:val="18"/>
        <w:szCs w:val="18"/>
        <w:lang w:val="en-US"/>
      </w:rPr>
      <w:t xml:space="preserve">; </w:t>
    </w:r>
    <w:r>
      <w:rPr>
        <w:rFonts w:ascii="Times New Roman" w:hAnsi="Times New Roman" w:cs="Times New Roman"/>
        <w:i/>
        <w:sz w:val="18"/>
        <w:szCs w:val="18"/>
        <w:lang w:val="en-US"/>
      </w:rPr>
      <w:t>email</w:t>
    </w:r>
    <w:r>
      <w:rPr>
        <w:rFonts w:ascii="Times New Roman" w:hAnsi="Times New Roman" w:cs="Times New Roman"/>
        <w:sz w:val="18"/>
        <w:szCs w:val="18"/>
        <w:lang w:val="en-US"/>
      </w:rPr>
      <w:t xml:space="preserve">: </w:t>
    </w:r>
    <w:hyperlink r:id="rId2">
      <w:r>
        <w:rPr>
          <w:rStyle w:val="LinkdaInternet"/>
          <w:rFonts w:ascii="Times New Roman" w:hAnsi="Times New Roman" w:cs="Times New Roman"/>
          <w:color w:val="00000A"/>
          <w:sz w:val="18"/>
          <w:szCs w:val="18"/>
          <w:u w:val="none"/>
          <w:lang w:val="en-US"/>
        </w:rPr>
        <w:t>gabinete@dp.es.gov.br</w:t>
      </w:r>
    </w:hyperlink>
    <w:r>
      <w:rPr>
        <w:rFonts w:ascii="Times New Roman" w:hAnsi="Times New Roman" w:cs="Times New Roman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6" w:rsidRDefault="002048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BF" w:rsidRDefault="00193FBF">
      <w:r>
        <w:separator/>
      </w:r>
    </w:p>
  </w:footnote>
  <w:footnote w:type="continuationSeparator" w:id="0">
    <w:p w:rsidR="00193FBF" w:rsidRDefault="0019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6" w:rsidRDefault="002048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ook w:val="0000" w:firstRow="0" w:lastRow="0" w:firstColumn="0" w:lastColumn="0" w:noHBand="0" w:noVBand="0"/>
    </w:tblPr>
    <w:tblGrid>
      <w:gridCol w:w="1700"/>
      <w:gridCol w:w="7509"/>
    </w:tblGrid>
    <w:tr w:rsidR="009F3306">
      <w:trPr>
        <w:jc w:val="center"/>
      </w:trPr>
      <w:tc>
        <w:tcPr>
          <w:tcW w:w="1700" w:type="dxa"/>
          <w:shd w:val="clear" w:color="auto" w:fill="auto"/>
        </w:tcPr>
        <w:p w:rsidR="009F3306" w:rsidRDefault="00193FBF">
          <w:pPr>
            <w:suppressAutoHyphens/>
            <w:jc w:val="center"/>
            <w:textAlignment w:val="baseline"/>
          </w:pPr>
          <w:r>
            <w:rPr>
              <w:noProof/>
            </w:rPr>
            <w:drawing>
              <wp:inline distT="0" distB="0" distL="0" distR="0">
                <wp:extent cx="871220" cy="76390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255" distL="114300" distR="114300" simplePos="0" relativeHeight="8" behindDoc="1" locked="0" layoutInCell="1" allowOverlap="1" wp14:anchorId="665C6617">
                    <wp:simplePos x="0" y="0"/>
                    <wp:positionH relativeFrom="column">
                      <wp:posOffset>1007745</wp:posOffset>
                    </wp:positionH>
                    <wp:positionV relativeFrom="paragraph">
                      <wp:posOffset>136525</wp:posOffset>
                    </wp:positionV>
                    <wp:extent cx="0" cy="506730"/>
                    <wp:effectExtent l="0" t="0" r="19050" b="28320"/>
                    <wp:wrapNone/>
                    <wp:docPr id="1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0000" cy="506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</w:p>
      </w:tc>
      <w:tc>
        <w:tcPr>
          <w:tcW w:w="7508" w:type="dxa"/>
          <w:shd w:val="clear" w:color="auto" w:fill="auto"/>
          <w:vAlign w:val="center"/>
        </w:tcPr>
        <w:p w:rsidR="009F3306" w:rsidRDefault="00193FBF">
          <w:pPr>
            <w:keepNext/>
            <w:keepLines/>
            <w:suppressAutoHyphens/>
            <w:spacing w:line="100" w:lineRule="atLeast"/>
            <w:rPr>
              <w:rFonts w:eastAsia="Calibri" w:cs="Arial"/>
              <w:b/>
              <w:bCs/>
            </w:rPr>
          </w:pPr>
          <w:r>
            <w:rPr>
              <w:rFonts w:eastAsia="Calibri" w:cs="Arial"/>
              <w:b/>
              <w:bCs/>
            </w:rPr>
            <w:t>DEFENSORIA PÚBLICA DO ESTADO DO ESPÍRITO SANTO</w:t>
          </w:r>
        </w:p>
        <w:p w:rsidR="009F3306" w:rsidRDefault="00193FBF">
          <w:pPr>
            <w:keepNext/>
            <w:keepLines/>
            <w:suppressAutoHyphens/>
            <w:spacing w:line="100" w:lineRule="atLeast"/>
            <w:rPr>
              <w:rFonts w:eastAsia="Calibri" w:cs="Arial"/>
              <w:b/>
              <w:bCs/>
            </w:rPr>
          </w:pPr>
          <w:r>
            <w:rPr>
              <w:rFonts w:eastAsia="Calibri" w:cs="Arial"/>
              <w:b/>
              <w:bCs/>
            </w:rPr>
            <w:t>GABINETE D</w:t>
          </w:r>
          <w:r w:rsidR="00204806">
            <w:rPr>
              <w:rFonts w:eastAsia="Calibri" w:cs="Arial"/>
              <w:b/>
              <w:bCs/>
            </w:rPr>
            <w:t xml:space="preserve">O </w:t>
          </w:r>
          <w:r>
            <w:rPr>
              <w:rFonts w:eastAsia="Calibri" w:cs="Arial"/>
              <w:b/>
              <w:bCs/>
            </w:rPr>
            <w:t>DEFENSOR</w:t>
          </w:r>
          <w:r w:rsidR="00204806">
            <w:rPr>
              <w:rFonts w:eastAsia="Calibri" w:cs="Arial"/>
              <w:b/>
              <w:bCs/>
            </w:rPr>
            <w:t xml:space="preserve"> </w:t>
          </w:r>
          <w:r>
            <w:rPr>
              <w:rFonts w:eastAsia="Calibri" w:cs="Arial"/>
              <w:b/>
              <w:bCs/>
            </w:rPr>
            <w:t>PÚBLIC</w:t>
          </w:r>
          <w:r w:rsidR="00204806">
            <w:rPr>
              <w:rFonts w:eastAsia="Calibri" w:cs="Arial"/>
              <w:b/>
              <w:bCs/>
            </w:rPr>
            <w:t>O</w:t>
          </w:r>
          <w:r>
            <w:rPr>
              <w:rFonts w:eastAsia="Calibri" w:cs="Arial"/>
              <w:b/>
              <w:bCs/>
            </w:rPr>
            <w:t xml:space="preserve">-GERAL </w:t>
          </w:r>
        </w:p>
      </w:tc>
    </w:tr>
  </w:tbl>
  <w:p w:rsidR="009F3306" w:rsidRDefault="009F33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6" w:rsidRDefault="002048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78B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7F702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>
      <w:start w:val="1"/>
      <w:numFmt w:val="decimal"/>
      <w:lvlText w:val="%8."/>
      <w:lvlJc w:val="left"/>
      <w:pPr>
        <w:tabs>
          <w:tab w:val="num" w:pos="3884"/>
        </w:tabs>
        <w:ind w:left="3884" w:hanging="360"/>
      </w:pPr>
    </w:lvl>
    <w:lvl w:ilvl="8">
      <w:start w:val="1"/>
      <w:numFmt w:val="decimal"/>
      <w:lvlText w:val="%9."/>
      <w:lvlJc w:val="left"/>
      <w:pPr>
        <w:tabs>
          <w:tab w:val="num" w:pos="4244"/>
        </w:tabs>
        <w:ind w:left="4244" w:hanging="360"/>
      </w:pPr>
    </w:lvl>
  </w:abstractNum>
  <w:abstractNum w:abstractNumId="2" w15:restartNumberingAfterBreak="0">
    <w:nsid w:val="7BC75E1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06"/>
    <w:rsid w:val="00193FBF"/>
    <w:rsid w:val="00204806"/>
    <w:rsid w:val="003A43C8"/>
    <w:rsid w:val="009F3306"/>
    <w:rsid w:val="00C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037173-9CE5-8D4A-94A5-BE4EC5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C7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Ttulo1">
    <w:name w:val="heading 1"/>
    <w:basedOn w:val="Ttulododocumento"/>
    <w:qFormat/>
    <w:pPr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5418C7"/>
    <w:pPr>
      <w:keepNext/>
      <w:jc w:val="center"/>
      <w:outlineLvl w:val="1"/>
    </w:pPr>
    <w:rPr>
      <w:b/>
      <w:w w:val="150"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5418C7"/>
  </w:style>
  <w:style w:type="character" w:customStyle="1" w:styleId="CabealhoChar">
    <w:name w:val="Cabeçalho Char"/>
    <w:basedOn w:val="Fontepargpadro"/>
    <w:link w:val="Cabealho"/>
    <w:uiPriority w:val="99"/>
    <w:qFormat/>
    <w:rsid w:val="005418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418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5418C7"/>
    <w:rPr>
      <w:rFonts w:ascii="Times New Roman" w:eastAsia="Times New Roman" w:hAnsi="Times New Roman" w:cs="Times New Roman"/>
      <w:b/>
      <w:w w:val="150"/>
      <w:sz w:val="3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418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F44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nhideWhenUsed/>
    <w:qFormat/>
    <w:rsid w:val="005418C7"/>
    <w:pPr>
      <w:jc w:val="center"/>
    </w:pPr>
    <w:rPr>
      <w:b/>
      <w:sz w:val="22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cxmsonormal">
    <w:name w:val="ecxmsonormal"/>
    <w:basedOn w:val="Normal"/>
    <w:qFormat/>
    <w:rsid w:val="005418C7"/>
    <w:pPr>
      <w:spacing w:beforeAutospacing="1" w:afterAutospacing="1"/>
    </w:pPr>
  </w:style>
  <w:style w:type="paragraph" w:styleId="Cabealho">
    <w:name w:val="header"/>
    <w:basedOn w:val="Normal"/>
    <w:link w:val="CabealhoChar"/>
    <w:uiPriority w:val="99"/>
    <w:unhideWhenUsed/>
    <w:rsid w:val="005418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418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418C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4C8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dp.es.gov.br" TargetMode="External"/><Relationship Id="rId1" Type="http://schemas.openxmlformats.org/officeDocument/2006/relationships/hyperlink" Target="http://www.defensoria.es.def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ABF9-F6B6-384A-B833-490C4657B8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10800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DFP-7222</dc:creator>
  <cp:lastModifiedBy>Isabela Araújo</cp:lastModifiedBy>
  <cp:revision>2</cp:revision>
  <cp:lastPrinted>2018-05-24T15:37:00Z</cp:lastPrinted>
  <dcterms:created xsi:type="dcterms:W3CDTF">2019-03-01T20:45:00Z</dcterms:created>
  <dcterms:modified xsi:type="dcterms:W3CDTF">2019-03-01T20:45:00Z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